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85A64" w14:textId="188AAEAB" w:rsidR="00A514B4" w:rsidRDefault="00A514B4" w:rsidP="00AE7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A514B4">
        <w:rPr>
          <w:b/>
          <w:bCs/>
          <w:color w:val="000000"/>
          <w:sz w:val="28"/>
          <w:szCs w:val="28"/>
          <w:u w:val="single"/>
        </w:rPr>
        <w:t>TENDER DOCUMENTS</w:t>
      </w:r>
    </w:p>
    <w:p w14:paraId="39C5E455" w14:textId="087FB68B" w:rsidR="004C4C21" w:rsidRDefault="00AE77C2" w:rsidP="00AC3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Category-A</w:t>
      </w:r>
      <w:r w:rsidR="004C4C21">
        <w:rPr>
          <w:b/>
          <w:bCs/>
          <w:color w:val="000000"/>
          <w:sz w:val="28"/>
          <w:szCs w:val="28"/>
          <w:u w:val="single"/>
        </w:rPr>
        <w:t>:</w:t>
      </w:r>
      <w:r w:rsidR="00AC3F59">
        <w:rPr>
          <w:b/>
          <w:bCs/>
          <w:color w:val="000000"/>
          <w:sz w:val="28"/>
          <w:szCs w:val="28"/>
          <w:u w:val="single"/>
        </w:rPr>
        <w:t xml:space="preserve"> </w:t>
      </w:r>
      <w:r w:rsidR="004C4C21">
        <w:rPr>
          <w:b/>
          <w:bCs/>
          <w:color w:val="000000"/>
          <w:sz w:val="28"/>
          <w:szCs w:val="28"/>
          <w:u w:val="single"/>
        </w:rPr>
        <w:t>Purchase/installation of Windows Blinds:</w:t>
      </w:r>
    </w:p>
    <w:tbl>
      <w:tblPr>
        <w:tblW w:w="15144" w:type="dxa"/>
        <w:tblLook w:val="04A0" w:firstRow="1" w:lastRow="0" w:firstColumn="1" w:lastColumn="0" w:noHBand="0" w:noVBand="1"/>
      </w:tblPr>
      <w:tblGrid>
        <w:gridCol w:w="740"/>
        <w:gridCol w:w="6763"/>
        <w:gridCol w:w="644"/>
        <w:gridCol w:w="1183"/>
        <w:gridCol w:w="1347"/>
        <w:gridCol w:w="1701"/>
        <w:gridCol w:w="3063"/>
        <w:gridCol w:w="16"/>
      </w:tblGrid>
      <w:tr w:rsidR="00500B71" w:rsidRPr="00500B71" w14:paraId="6759BA7D" w14:textId="77777777" w:rsidTr="00500B71">
        <w:trPr>
          <w:gridAfter w:val="2"/>
          <w:wAfter w:w="3079" w:type="dxa"/>
          <w:trHeight w:val="509"/>
        </w:trPr>
        <w:tc>
          <w:tcPr>
            <w:tcW w:w="120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902B5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</w:rPr>
            </w:pP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</w:rPr>
              <w:t>Curtain/Blinds under Project PAAF</w:t>
            </w:r>
          </w:p>
        </w:tc>
      </w:tr>
      <w:tr w:rsidR="00500B71" w:rsidRPr="00500B71" w14:paraId="03624CA9" w14:textId="77777777" w:rsidTr="00500B71">
        <w:trPr>
          <w:trHeight w:val="345"/>
        </w:trPr>
        <w:tc>
          <w:tcPr>
            <w:tcW w:w="120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42AFE" w14:textId="77777777" w:rsidR="00500B71" w:rsidRPr="00500B71" w:rsidRDefault="00500B71" w:rsidP="00500B71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4D74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00B71" w:rsidRPr="00500B71" w14:paraId="21905CA7" w14:textId="77777777" w:rsidTr="005C6DA2">
        <w:trPr>
          <w:trHeight w:val="60"/>
        </w:trPr>
        <w:tc>
          <w:tcPr>
            <w:tcW w:w="1206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3A9FC" w14:textId="77777777" w:rsidR="00500B71" w:rsidRPr="00500B71" w:rsidRDefault="00500B71" w:rsidP="00500B71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2A67" w14:textId="77777777" w:rsidR="00500B71" w:rsidRPr="00500B71" w:rsidRDefault="00500B71" w:rsidP="0050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B71" w:rsidRPr="00500B71" w14:paraId="35ADB2AF" w14:textId="77777777" w:rsidTr="00500B71">
        <w:trPr>
          <w:gridAfter w:val="1"/>
          <w:wAfter w:w="27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4517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55B4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A5C5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4611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QTY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C94E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Rate(Rs) with GST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619E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Amount (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Rs)</w:t>
            </w: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 xml:space="preserve"> with GST</w:t>
            </w:r>
          </w:p>
        </w:tc>
        <w:tc>
          <w:tcPr>
            <w:tcW w:w="3079" w:type="dxa"/>
            <w:vAlign w:val="center"/>
            <w:hideMark/>
          </w:tcPr>
          <w:p w14:paraId="08AED1A7" w14:textId="77777777" w:rsidR="00500B71" w:rsidRPr="00500B71" w:rsidRDefault="00500B71" w:rsidP="0050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B71" w:rsidRPr="00500B71" w14:paraId="0149064D" w14:textId="77777777" w:rsidTr="00500B71">
        <w:trPr>
          <w:gridAfter w:val="1"/>
          <w:wAfter w:w="27" w:type="dxa"/>
          <w:trHeight w:val="36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B432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D0E1" w14:textId="4A8A0229" w:rsidR="00AC3F59" w:rsidRDefault="00500B71" w:rsidP="00500B71">
            <w:pPr>
              <w:spacing w:after="0" w:line="240" w:lineRule="auto"/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i-(Office's in Acad</w:t>
            </w:r>
            <w:r w:rsidR="00AC3F5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e</w:t>
            </w: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mic Block(G,</w:t>
            </w:r>
            <w:r w:rsidR="00AC3F5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1</w:t>
            </w: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st &amp; 2nd Floor)             II-Lecture Theat</w:t>
            </w:r>
            <w:r w:rsidR="001C4E7A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e</w:t>
            </w: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r's &amp; Computer Lab  III-Seminar &amp; Theat</w:t>
            </w:r>
            <w:r w:rsidR="00AC3F5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e</w:t>
            </w: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r Halls IV-</w:t>
            </w:r>
            <w:r w:rsidR="001C4E7A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Ex</w:t>
            </w:r>
            <w:r w:rsidR="00AC3F59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a</w:t>
            </w: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 xml:space="preserve">mination Center V-STC &amp; Provost office   </w:t>
            </w:r>
          </w:p>
          <w:p w14:paraId="7389CD15" w14:textId="3793AEBF" w:rsidR="00500B71" w:rsidRPr="00500B71" w:rsidRDefault="00500B71" w:rsidP="00500B7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  <w:u w:val="single"/>
              </w:rPr>
              <w:t>Roller Blinds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: the blind system consist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s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 of 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a 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quoted </w:t>
            </w:r>
            <w:r w:rsidR="001C4E7A"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Aluminium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 tube of 38mm </w:t>
            </w:r>
            <w:r w:rsidR="001C4E7A"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diameter (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including cover) with 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the 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provision of fabric clamping. The fabric is rolled up and 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d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own through a chain drive system with built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-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in drive gear and an over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-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run brake system. The side brackets are universal type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s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 suitable both for wall and ceiling mounting. The bottom end of the fabric is rolled over an oval shape </w:t>
            </w:r>
            <w:r w:rsidR="001C4E7A"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aluminium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 tube with provision to lock the fabric.</w:t>
            </w:r>
            <w:r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 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including fixing/hardware complete in all respect.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A68D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Sft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35E1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5878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DD98" w14:textId="2D4230DF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D66D" w14:textId="3AB0D758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  <w:hideMark/>
          </w:tcPr>
          <w:p w14:paraId="0549F502" w14:textId="77777777" w:rsidR="00500B71" w:rsidRPr="00500B71" w:rsidRDefault="00500B71" w:rsidP="0050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B71" w:rsidRPr="00500B71" w14:paraId="5178446F" w14:textId="77777777" w:rsidTr="00500B71">
        <w:trPr>
          <w:gridAfter w:val="1"/>
          <w:wAfter w:w="27" w:type="dxa"/>
          <w:trHeight w:val="21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70C4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0344" w14:textId="5FE0986D" w:rsidR="00500B71" w:rsidRPr="00500B71" w:rsidRDefault="00500B71" w:rsidP="00500B71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b/>
                <w:bCs/>
                <w:color w:val="000000"/>
                <w:sz w:val="24"/>
                <w:szCs w:val="24"/>
              </w:rPr>
              <w:t>I-Class Rooms II-Sports Gym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                                                     S/F for curtain,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 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best quality cotton fabric, weather 100% cotton or cotton/polyester mixed,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 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tend to be heavy in weight and attractive in color.</w:t>
            </w:r>
            <w:r w:rsidR="00AC3F59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 xml:space="preserve"> </w:t>
            </w: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including fixing /hardware complete in all respect.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3ADE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Sft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3787" w14:textId="77777777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  <w:r w:rsidRPr="00500B71"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  <w:t>6170.00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30ED" w14:textId="0FA9DECD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C9BE" w14:textId="5F59B60C" w:rsidR="00500B71" w:rsidRPr="00500B71" w:rsidRDefault="00500B71" w:rsidP="00500B7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  <w:hideMark/>
          </w:tcPr>
          <w:p w14:paraId="53E3491A" w14:textId="77777777" w:rsidR="00500B71" w:rsidRPr="00500B71" w:rsidRDefault="00500B71" w:rsidP="00500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88D0BB" w14:textId="2BBC820F" w:rsidR="004C4C21" w:rsidRDefault="004C4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  <w:u w:val="single"/>
        </w:rPr>
      </w:pPr>
    </w:p>
    <w:p w14:paraId="274B7E76" w14:textId="277479E1" w:rsidR="00AC3F59" w:rsidRDefault="00AC3F59" w:rsidP="00AC3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b/>
        </w:rPr>
      </w:pPr>
      <w:r w:rsidRPr="00500B71">
        <w:rPr>
          <w:rFonts w:asciiTheme="majorBidi" w:hAnsiTheme="majorBidi" w:cstheme="majorBidi"/>
          <w:b/>
        </w:rPr>
        <w:t>*   Price must be quoted</w:t>
      </w:r>
      <w:r>
        <w:rPr>
          <w:rFonts w:asciiTheme="majorBidi" w:hAnsiTheme="majorBidi" w:cstheme="majorBidi"/>
          <w:b/>
        </w:rPr>
        <w:t xml:space="preserve"> in PKR</w:t>
      </w:r>
      <w:r w:rsidRPr="00500B71">
        <w:rPr>
          <w:rFonts w:asciiTheme="majorBidi" w:hAnsiTheme="majorBidi" w:cstheme="majorBidi"/>
          <w:b/>
        </w:rPr>
        <w:t xml:space="preserve"> with fixing, and installation</w:t>
      </w:r>
      <w:r>
        <w:rPr>
          <w:rFonts w:asciiTheme="majorBidi" w:hAnsiTheme="majorBidi" w:cstheme="majorBidi"/>
          <w:b/>
        </w:rPr>
        <w:t xml:space="preserve"> </w:t>
      </w:r>
      <w:r w:rsidRPr="00500B71">
        <w:rPr>
          <w:rFonts w:asciiTheme="majorBidi" w:hAnsiTheme="majorBidi" w:cstheme="majorBidi"/>
          <w:b/>
        </w:rPr>
        <w:t>charges</w:t>
      </w:r>
      <w:r>
        <w:rPr>
          <w:rFonts w:asciiTheme="majorBidi" w:hAnsiTheme="majorBidi" w:cstheme="majorBidi"/>
          <w:b/>
        </w:rPr>
        <w:t>.</w:t>
      </w:r>
    </w:p>
    <w:p w14:paraId="163F4A83" w14:textId="3EEDB241" w:rsidR="00AC3F59" w:rsidRPr="00500B71" w:rsidRDefault="00AC3F59" w:rsidP="00AC3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** </w:t>
      </w:r>
      <w:r w:rsidRPr="00500B71">
        <w:rPr>
          <w:rFonts w:asciiTheme="majorBidi" w:hAnsiTheme="majorBidi" w:cstheme="majorBidi"/>
          <w:b/>
        </w:rPr>
        <w:t>The bidder must sign</w:t>
      </w:r>
      <w:r>
        <w:rPr>
          <w:rFonts w:asciiTheme="majorBidi" w:hAnsiTheme="majorBidi" w:cstheme="majorBidi"/>
          <w:b/>
        </w:rPr>
        <w:t xml:space="preserve"> &amp; </w:t>
      </w:r>
      <w:r w:rsidRPr="00500B71">
        <w:rPr>
          <w:rFonts w:asciiTheme="majorBidi" w:hAnsiTheme="majorBidi" w:cstheme="majorBidi"/>
          <w:b/>
        </w:rPr>
        <w:t xml:space="preserve">stamp each page of </w:t>
      </w:r>
      <w:r>
        <w:rPr>
          <w:rFonts w:asciiTheme="majorBidi" w:hAnsiTheme="majorBidi" w:cstheme="majorBidi"/>
          <w:b/>
        </w:rPr>
        <w:t xml:space="preserve">the </w:t>
      </w:r>
      <w:r w:rsidRPr="00500B71">
        <w:rPr>
          <w:rFonts w:asciiTheme="majorBidi" w:hAnsiTheme="majorBidi" w:cstheme="majorBidi"/>
          <w:b/>
        </w:rPr>
        <w:t>bid</w:t>
      </w:r>
      <w:r>
        <w:rPr>
          <w:rFonts w:asciiTheme="majorBidi" w:hAnsiTheme="majorBidi" w:cstheme="majorBidi"/>
          <w:b/>
        </w:rPr>
        <w:t>ding</w:t>
      </w:r>
      <w:r w:rsidRPr="00500B71">
        <w:rPr>
          <w:rFonts w:asciiTheme="majorBidi" w:hAnsiTheme="majorBidi" w:cstheme="majorBidi"/>
          <w:b/>
        </w:rPr>
        <w:t xml:space="preserve"> document.</w:t>
      </w:r>
    </w:p>
    <w:p w14:paraId="2B5C5723" w14:textId="77777777" w:rsidR="00AC3F59" w:rsidRDefault="00AC3F59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br w:type="page"/>
      </w:r>
    </w:p>
    <w:p w14:paraId="79D6310B" w14:textId="00F6A4B3" w:rsidR="004C4C21" w:rsidRDefault="004C4C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Category-B:</w:t>
      </w:r>
      <w:r w:rsidR="00AC3F59">
        <w:rPr>
          <w:b/>
          <w:bCs/>
          <w:color w:val="000000"/>
          <w:sz w:val="28"/>
          <w:szCs w:val="28"/>
          <w:u w:val="single"/>
        </w:rPr>
        <w:t xml:space="preserve"> (Purchase of Tent/Catering items)</w:t>
      </w:r>
    </w:p>
    <w:p w14:paraId="3B6E440C" w14:textId="77777777" w:rsidR="00AC3F59" w:rsidRDefault="00AC3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page" w:tblpX="989" w:tblpY="735"/>
        <w:tblW w:w="13559" w:type="dxa"/>
        <w:tblLook w:val="04A0" w:firstRow="1" w:lastRow="0" w:firstColumn="1" w:lastColumn="0" w:noHBand="0" w:noVBand="1"/>
      </w:tblPr>
      <w:tblGrid>
        <w:gridCol w:w="539"/>
        <w:gridCol w:w="1240"/>
        <w:gridCol w:w="1500"/>
        <w:gridCol w:w="3594"/>
        <w:gridCol w:w="3567"/>
        <w:gridCol w:w="1152"/>
        <w:gridCol w:w="1234"/>
        <w:gridCol w:w="709"/>
        <w:gridCol w:w="24"/>
      </w:tblGrid>
      <w:tr w:rsidR="004C4C21" w:rsidRPr="005C6DA2" w14:paraId="7F1E8A15" w14:textId="77777777" w:rsidTr="004C4C21">
        <w:tc>
          <w:tcPr>
            <w:tcW w:w="13559" w:type="dxa"/>
            <w:gridSpan w:val="9"/>
          </w:tcPr>
          <w:p w14:paraId="13F6D38D" w14:textId="77777777" w:rsidR="004C4C21" w:rsidRPr="005C6DA2" w:rsidRDefault="004C4C21" w:rsidP="001F6F2A">
            <w:pPr>
              <w:jc w:val="center"/>
              <w:rPr>
                <w:b/>
                <w:bCs/>
                <w:sz w:val="20"/>
                <w:szCs w:val="20"/>
              </w:rPr>
            </w:pPr>
            <w:r w:rsidRPr="005C6DA2">
              <w:rPr>
                <w:b/>
                <w:bCs/>
                <w:sz w:val="20"/>
                <w:szCs w:val="20"/>
              </w:rPr>
              <w:t>SPECIFICATION OF TENT/CATERING ITEMS</w:t>
            </w:r>
          </w:p>
        </w:tc>
      </w:tr>
      <w:tr w:rsidR="004C4C21" w:rsidRPr="005C6DA2" w14:paraId="4CFD8FB9" w14:textId="77777777" w:rsidTr="004C4C21">
        <w:trPr>
          <w:gridAfter w:val="1"/>
          <w:wAfter w:w="24" w:type="dxa"/>
        </w:trPr>
        <w:tc>
          <w:tcPr>
            <w:tcW w:w="539" w:type="dxa"/>
          </w:tcPr>
          <w:p w14:paraId="51A43ADE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S. No</w:t>
            </w:r>
          </w:p>
        </w:tc>
        <w:tc>
          <w:tcPr>
            <w:tcW w:w="1240" w:type="dxa"/>
          </w:tcPr>
          <w:p w14:paraId="24733E93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 xml:space="preserve">Item </w:t>
            </w:r>
          </w:p>
        </w:tc>
        <w:tc>
          <w:tcPr>
            <w:tcW w:w="1500" w:type="dxa"/>
          </w:tcPr>
          <w:p w14:paraId="743464C4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Type</w:t>
            </w:r>
          </w:p>
        </w:tc>
        <w:tc>
          <w:tcPr>
            <w:tcW w:w="3594" w:type="dxa"/>
          </w:tcPr>
          <w:p w14:paraId="190AAB77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Specification</w:t>
            </w:r>
          </w:p>
        </w:tc>
        <w:tc>
          <w:tcPr>
            <w:tcW w:w="3567" w:type="dxa"/>
          </w:tcPr>
          <w:p w14:paraId="4960BC3C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Size</w:t>
            </w:r>
          </w:p>
        </w:tc>
        <w:tc>
          <w:tcPr>
            <w:tcW w:w="1152" w:type="dxa"/>
          </w:tcPr>
          <w:p w14:paraId="1F2238FE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Quantity</w:t>
            </w:r>
          </w:p>
        </w:tc>
        <w:tc>
          <w:tcPr>
            <w:tcW w:w="1234" w:type="dxa"/>
          </w:tcPr>
          <w:p w14:paraId="7EF13106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Unit Price with GST</w:t>
            </w:r>
          </w:p>
        </w:tc>
        <w:tc>
          <w:tcPr>
            <w:tcW w:w="709" w:type="dxa"/>
          </w:tcPr>
          <w:p w14:paraId="05F2C1B2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 xml:space="preserve">Total </w:t>
            </w:r>
          </w:p>
        </w:tc>
      </w:tr>
      <w:tr w:rsidR="004C4C21" w:rsidRPr="005C6DA2" w14:paraId="1EC792BC" w14:textId="77777777" w:rsidTr="004C4C21">
        <w:trPr>
          <w:gridAfter w:val="1"/>
          <w:wAfter w:w="24" w:type="dxa"/>
        </w:trPr>
        <w:tc>
          <w:tcPr>
            <w:tcW w:w="539" w:type="dxa"/>
          </w:tcPr>
          <w:p w14:paraId="367F7FAE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14:paraId="5451F706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 xml:space="preserve">Chairs </w:t>
            </w:r>
          </w:p>
        </w:tc>
        <w:tc>
          <w:tcPr>
            <w:tcW w:w="1500" w:type="dxa"/>
          </w:tcPr>
          <w:p w14:paraId="677E7F96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Simple/ Common Chairs</w:t>
            </w:r>
          </w:p>
        </w:tc>
        <w:tc>
          <w:tcPr>
            <w:tcW w:w="3594" w:type="dxa"/>
          </w:tcPr>
          <w:p w14:paraId="7AF19899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Frame: made of stainless-steel Pipe shall not be less than ¾” with 18 gauge</w:t>
            </w:r>
          </w:p>
          <w:p w14:paraId="7E3F0DD7" w14:textId="77777777" w:rsidR="004C4C21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 xml:space="preserve">Material: Back and sitting material should be good quality plastic or Polypropylene </w:t>
            </w:r>
          </w:p>
          <w:p w14:paraId="21781022" w14:textId="074F09FE" w:rsidR="005C6DA2" w:rsidRPr="005C6DA2" w:rsidRDefault="005C6DA2" w:rsidP="005C6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7" w:type="dxa"/>
          </w:tcPr>
          <w:p w14:paraId="160FA738" w14:textId="2DA8CF10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rFonts w:ascii="Calibri" w:eastAsia="Calibri" w:hAnsi="Calibri" w:cs="Calibri"/>
                <w:sz w:val="20"/>
                <w:szCs w:val="20"/>
                <w:lang w:eastAsia="en-PK"/>
              </w:rPr>
              <w:object w:dxaOrig="5100" w:dyaOrig="3876" w14:anchorId="4CAEC4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pt;height:89.4pt" o:ole="">
                  <v:imagedata r:id="rId7" o:title=""/>
                </v:shape>
                <o:OLEObject Type="Embed" ProgID="PBrush" ShapeID="_x0000_i1025" DrawAspect="Content" ObjectID="_1687335453" r:id="rId8"/>
              </w:object>
            </w:r>
          </w:p>
        </w:tc>
        <w:tc>
          <w:tcPr>
            <w:tcW w:w="1152" w:type="dxa"/>
          </w:tcPr>
          <w:p w14:paraId="718ED207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500</w:t>
            </w:r>
          </w:p>
        </w:tc>
        <w:tc>
          <w:tcPr>
            <w:tcW w:w="1234" w:type="dxa"/>
          </w:tcPr>
          <w:p w14:paraId="0F1C49B6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4485A3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</w:tr>
      <w:tr w:rsidR="004C4C21" w:rsidRPr="005C6DA2" w14:paraId="20634635" w14:textId="77777777" w:rsidTr="004C4C21">
        <w:trPr>
          <w:gridAfter w:val="1"/>
          <w:wAfter w:w="24" w:type="dxa"/>
        </w:trPr>
        <w:tc>
          <w:tcPr>
            <w:tcW w:w="539" w:type="dxa"/>
          </w:tcPr>
          <w:p w14:paraId="69550BF0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2</w:t>
            </w:r>
          </w:p>
        </w:tc>
        <w:tc>
          <w:tcPr>
            <w:tcW w:w="1240" w:type="dxa"/>
          </w:tcPr>
          <w:p w14:paraId="7EB7E7A0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 xml:space="preserve">Chairs </w:t>
            </w:r>
          </w:p>
        </w:tc>
        <w:tc>
          <w:tcPr>
            <w:tcW w:w="1500" w:type="dxa"/>
          </w:tcPr>
          <w:p w14:paraId="703DE579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Foam/Sofa Chairs</w:t>
            </w:r>
          </w:p>
        </w:tc>
        <w:tc>
          <w:tcPr>
            <w:tcW w:w="3594" w:type="dxa"/>
          </w:tcPr>
          <w:p w14:paraId="11995902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Frame: made of stainless-steel Pipe shall not be less than ¾” with 18 gauge</w:t>
            </w:r>
          </w:p>
          <w:p w14:paraId="42F8538E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 xml:space="preserve">Material: Back and sitting material should be high quality foam covered in good quality Cloth  </w:t>
            </w:r>
          </w:p>
        </w:tc>
        <w:tc>
          <w:tcPr>
            <w:tcW w:w="3567" w:type="dxa"/>
          </w:tcPr>
          <w:p w14:paraId="4BAA4068" w14:textId="21FE361F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rFonts w:ascii="Calibri" w:eastAsia="Calibri" w:hAnsi="Calibri" w:cs="Calibri"/>
                <w:sz w:val="20"/>
                <w:szCs w:val="20"/>
                <w:lang w:eastAsia="en-PK"/>
              </w:rPr>
              <w:object w:dxaOrig="5100" w:dyaOrig="3876" w14:anchorId="67C2B68F">
                <v:shape id="_x0000_i1026" type="#_x0000_t75" style="width:156pt;height:97.2pt" o:ole="">
                  <v:imagedata r:id="rId7" o:title=""/>
                </v:shape>
                <o:OLEObject Type="Embed" ProgID="PBrush" ShapeID="_x0000_i1026" DrawAspect="Content" ObjectID="_1687335454" r:id="rId9"/>
              </w:object>
            </w:r>
          </w:p>
        </w:tc>
        <w:tc>
          <w:tcPr>
            <w:tcW w:w="1152" w:type="dxa"/>
          </w:tcPr>
          <w:p w14:paraId="5D75BD1B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100</w:t>
            </w:r>
          </w:p>
        </w:tc>
        <w:tc>
          <w:tcPr>
            <w:tcW w:w="1234" w:type="dxa"/>
          </w:tcPr>
          <w:p w14:paraId="08E4A129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6074808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</w:tr>
      <w:tr w:rsidR="004C4C21" w:rsidRPr="005C6DA2" w14:paraId="78E3C75F" w14:textId="77777777" w:rsidTr="004C4C21">
        <w:trPr>
          <w:gridAfter w:val="1"/>
          <w:wAfter w:w="24" w:type="dxa"/>
        </w:trPr>
        <w:tc>
          <w:tcPr>
            <w:tcW w:w="539" w:type="dxa"/>
          </w:tcPr>
          <w:p w14:paraId="1B8916EE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14:paraId="75415A5C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Dining Table</w:t>
            </w:r>
          </w:p>
        </w:tc>
        <w:tc>
          <w:tcPr>
            <w:tcW w:w="1500" w:type="dxa"/>
          </w:tcPr>
          <w:p w14:paraId="67347A93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 xml:space="preserve">Rectangular (folding) </w:t>
            </w:r>
          </w:p>
        </w:tc>
        <w:tc>
          <w:tcPr>
            <w:tcW w:w="3594" w:type="dxa"/>
          </w:tcPr>
          <w:p w14:paraId="71D7D2E6" w14:textId="1E4D6382" w:rsidR="004C4C21" w:rsidRPr="005C6DA2" w:rsidRDefault="004C4C21" w:rsidP="004C4C21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Frame: made of stainless-steel Pipe shall not be less than ¾” with 18 gauge.</w:t>
            </w:r>
          </w:p>
          <w:p w14:paraId="7FC2ACC6" w14:textId="61FC24C1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 xml:space="preserve">Serving Surface Material: should be stainless steel covered/coated with good quality leather </w:t>
            </w:r>
          </w:p>
        </w:tc>
        <w:tc>
          <w:tcPr>
            <w:tcW w:w="3567" w:type="dxa"/>
          </w:tcPr>
          <w:p w14:paraId="6A6B256F" w14:textId="403A22B6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rFonts w:ascii="Calibri" w:eastAsia="Calibri" w:hAnsi="Calibri" w:cs="Calibri"/>
                <w:sz w:val="20"/>
                <w:szCs w:val="20"/>
                <w:lang w:eastAsia="en-PK"/>
              </w:rPr>
              <w:object w:dxaOrig="2688" w:dyaOrig="2088" w14:anchorId="33E28436">
                <v:shape id="_x0000_i1027" type="#_x0000_t75" style="width:156pt;height:87pt" o:ole="">
                  <v:imagedata r:id="rId10" o:title=""/>
                </v:shape>
                <o:OLEObject Type="Embed" ProgID="PBrush" ShapeID="_x0000_i1027" DrawAspect="Content" ObjectID="_1687335455" r:id="rId11"/>
              </w:object>
            </w:r>
          </w:p>
        </w:tc>
        <w:tc>
          <w:tcPr>
            <w:tcW w:w="1152" w:type="dxa"/>
          </w:tcPr>
          <w:p w14:paraId="2B87F6C1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150</w:t>
            </w:r>
          </w:p>
        </w:tc>
        <w:tc>
          <w:tcPr>
            <w:tcW w:w="1234" w:type="dxa"/>
          </w:tcPr>
          <w:p w14:paraId="1A122561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530B6DB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</w:tr>
      <w:tr w:rsidR="004C4C21" w:rsidRPr="005C6DA2" w14:paraId="61AF6E92" w14:textId="77777777" w:rsidTr="004C4C21">
        <w:trPr>
          <w:gridAfter w:val="1"/>
          <w:wAfter w:w="24" w:type="dxa"/>
        </w:trPr>
        <w:tc>
          <w:tcPr>
            <w:tcW w:w="539" w:type="dxa"/>
          </w:tcPr>
          <w:p w14:paraId="55648338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0C0AD0FE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Qanat</w:t>
            </w:r>
          </w:p>
        </w:tc>
        <w:tc>
          <w:tcPr>
            <w:tcW w:w="1500" w:type="dxa"/>
          </w:tcPr>
          <w:p w14:paraId="160044FE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Umbrella</w:t>
            </w:r>
          </w:p>
        </w:tc>
        <w:tc>
          <w:tcPr>
            <w:tcW w:w="3594" w:type="dxa"/>
          </w:tcPr>
          <w:p w14:paraId="236377E7" w14:textId="68ACAC98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High</w:t>
            </w:r>
            <w:r w:rsidR="00AC3F59">
              <w:rPr>
                <w:sz w:val="20"/>
                <w:szCs w:val="20"/>
              </w:rPr>
              <w:t>-</w:t>
            </w:r>
            <w:r w:rsidRPr="005C6DA2">
              <w:rPr>
                <w:sz w:val="20"/>
                <w:szCs w:val="20"/>
              </w:rPr>
              <w:t>quality cloth double</w:t>
            </w:r>
            <w:r w:rsidR="00AC3F59">
              <w:rPr>
                <w:sz w:val="20"/>
                <w:szCs w:val="20"/>
              </w:rPr>
              <w:t>-</w:t>
            </w:r>
            <w:r w:rsidRPr="005C6DA2">
              <w:rPr>
                <w:sz w:val="20"/>
                <w:szCs w:val="20"/>
              </w:rPr>
              <w:t>layered having Parachute, must be waterproof and weather</w:t>
            </w:r>
            <w:r w:rsidR="00AC3F59">
              <w:rPr>
                <w:sz w:val="20"/>
                <w:szCs w:val="20"/>
              </w:rPr>
              <w:t>-</w:t>
            </w:r>
            <w:r w:rsidRPr="005C6DA2">
              <w:rPr>
                <w:sz w:val="20"/>
                <w:szCs w:val="20"/>
              </w:rPr>
              <w:t xml:space="preserve">resistant  </w:t>
            </w:r>
          </w:p>
        </w:tc>
        <w:tc>
          <w:tcPr>
            <w:tcW w:w="3567" w:type="dxa"/>
          </w:tcPr>
          <w:p w14:paraId="39FB922A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Size sufficient for covering/serving 300 people/chairs</w:t>
            </w:r>
          </w:p>
        </w:tc>
        <w:tc>
          <w:tcPr>
            <w:tcW w:w="1152" w:type="dxa"/>
          </w:tcPr>
          <w:p w14:paraId="03232669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2</w:t>
            </w:r>
          </w:p>
        </w:tc>
        <w:tc>
          <w:tcPr>
            <w:tcW w:w="1234" w:type="dxa"/>
          </w:tcPr>
          <w:p w14:paraId="768532C1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F90130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</w:tr>
      <w:tr w:rsidR="004C4C21" w:rsidRPr="005C6DA2" w14:paraId="65C3B547" w14:textId="77777777" w:rsidTr="004C4C21">
        <w:trPr>
          <w:gridAfter w:val="1"/>
          <w:wAfter w:w="24" w:type="dxa"/>
        </w:trPr>
        <w:tc>
          <w:tcPr>
            <w:tcW w:w="539" w:type="dxa"/>
          </w:tcPr>
          <w:p w14:paraId="2231B2AE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14:paraId="67A0764E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Qanat</w:t>
            </w:r>
          </w:p>
        </w:tc>
        <w:tc>
          <w:tcPr>
            <w:tcW w:w="1500" w:type="dxa"/>
          </w:tcPr>
          <w:p w14:paraId="11E777EA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 xml:space="preserve">Umbrella </w:t>
            </w:r>
          </w:p>
        </w:tc>
        <w:tc>
          <w:tcPr>
            <w:tcW w:w="3594" w:type="dxa"/>
          </w:tcPr>
          <w:p w14:paraId="77EFFCDC" w14:textId="4F93227B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High</w:t>
            </w:r>
            <w:r w:rsidR="00AC3F59">
              <w:rPr>
                <w:sz w:val="20"/>
                <w:szCs w:val="20"/>
              </w:rPr>
              <w:t>-</w:t>
            </w:r>
            <w:r w:rsidRPr="005C6DA2">
              <w:rPr>
                <w:sz w:val="20"/>
                <w:szCs w:val="20"/>
              </w:rPr>
              <w:t>quality cloth double</w:t>
            </w:r>
            <w:r w:rsidR="00AC3F59">
              <w:rPr>
                <w:sz w:val="20"/>
                <w:szCs w:val="20"/>
              </w:rPr>
              <w:t>-</w:t>
            </w:r>
            <w:r w:rsidRPr="005C6DA2">
              <w:rPr>
                <w:sz w:val="20"/>
                <w:szCs w:val="20"/>
              </w:rPr>
              <w:t>layered having Parachute must be waterproof and weather</w:t>
            </w:r>
            <w:r w:rsidR="00AC3F59">
              <w:rPr>
                <w:sz w:val="20"/>
                <w:szCs w:val="20"/>
              </w:rPr>
              <w:t>-</w:t>
            </w:r>
            <w:r w:rsidRPr="005C6DA2">
              <w:rPr>
                <w:sz w:val="20"/>
                <w:szCs w:val="20"/>
              </w:rPr>
              <w:t xml:space="preserve">resistant  </w:t>
            </w:r>
          </w:p>
        </w:tc>
        <w:tc>
          <w:tcPr>
            <w:tcW w:w="3567" w:type="dxa"/>
          </w:tcPr>
          <w:p w14:paraId="4CC46E3F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Size sufficient for covering/serving 150 people/chairs</w:t>
            </w:r>
          </w:p>
        </w:tc>
        <w:tc>
          <w:tcPr>
            <w:tcW w:w="1152" w:type="dxa"/>
          </w:tcPr>
          <w:p w14:paraId="26C63723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4</w:t>
            </w:r>
          </w:p>
        </w:tc>
        <w:tc>
          <w:tcPr>
            <w:tcW w:w="1234" w:type="dxa"/>
          </w:tcPr>
          <w:p w14:paraId="1D3E01CC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ED7BEE8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</w:tr>
      <w:tr w:rsidR="004C4C21" w:rsidRPr="005C6DA2" w14:paraId="03D79C78" w14:textId="77777777" w:rsidTr="004C4C21">
        <w:trPr>
          <w:gridAfter w:val="1"/>
          <w:wAfter w:w="24" w:type="dxa"/>
        </w:trPr>
        <w:tc>
          <w:tcPr>
            <w:tcW w:w="539" w:type="dxa"/>
          </w:tcPr>
          <w:p w14:paraId="200E4D52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</w:tcPr>
          <w:p w14:paraId="5FB9052D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Qanat</w:t>
            </w:r>
          </w:p>
        </w:tc>
        <w:tc>
          <w:tcPr>
            <w:tcW w:w="1500" w:type="dxa"/>
          </w:tcPr>
          <w:p w14:paraId="580866A3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Fence/</w:t>
            </w:r>
            <w:proofErr w:type="spellStart"/>
            <w:r w:rsidRPr="005C6DA2">
              <w:rPr>
                <w:sz w:val="20"/>
                <w:szCs w:val="20"/>
              </w:rPr>
              <w:t>parda</w:t>
            </w:r>
            <w:proofErr w:type="spellEnd"/>
          </w:p>
        </w:tc>
        <w:tc>
          <w:tcPr>
            <w:tcW w:w="3594" w:type="dxa"/>
          </w:tcPr>
          <w:p w14:paraId="55566C81" w14:textId="504DFF02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High quality and durable double</w:t>
            </w:r>
            <w:r w:rsidR="00AC3F59">
              <w:rPr>
                <w:sz w:val="20"/>
                <w:szCs w:val="20"/>
              </w:rPr>
              <w:t>-</w:t>
            </w:r>
            <w:r w:rsidRPr="005C6DA2">
              <w:rPr>
                <w:sz w:val="20"/>
                <w:szCs w:val="20"/>
              </w:rPr>
              <w:t xml:space="preserve">layered jersey cloth with </w:t>
            </w:r>
            <w:r w:rsidR="00AC3F59">
              <w:rPr>
                <w:sz w:val="20"/>
                <w:szCs w:val="20"/>
              </w:rPr>
              <w:t xml:space="preserve">the </w:t>
            </w:r>
            <w:r w:rsidRPr="005C6DA2">
              <w:rPr>
                <w:sz w:val="20"/>
                <w:szCs w:val="20"/>
              </w:rPr>
              <w:t xml:space="preserve">parachute </w:t>
            </w:r>
          </w:p>
        </w:tc>
        <w:tc>
          <w:tcPr>
            <w:tcW w:w="3567" w:type="dxa"/>
          </w:tcPr>
          <w:p w14:paraId="6F8D8347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Length 15 feet, Height 7 to 8 feet</w:t>
            </w:r>
          </w:p>
        </w:tc>
        <w:tc>
          <w:tcPr>
            <w:tcW w:w="1152" w:type="dxa"/>
          </w:tcPr>
          <w:p w14:paraId="22F222A5" w14:textId="77777777" w:rsidR="004C4C21" w:rsidRPr="005C6DA2" w:rsidRDefault="004C4C21" w:rsidP="001F6F2A">
            <w:pPr>
              <w:rPr>
                <w:sz w:val="20"/>
                <w:szCs w:val="20"/>
              </w:rPr>
            </w:pPr>
            <w:r w:rsidRPr="005C6DA2">
              <w:rPr>
                <w:sz w:val="20"/>
                <w:szCs w:val="20"/>
              </w:rPr>
              <w:t>30</w:t>
            </w:r>
          </w:p>
        </w:tc>
        <w:tc>
          <w:tcPr>
            <w:tcW w:w="1234" w:type="dxa"/>
          </w:tcPr>
          <w:p w14:paraId="3E27E47D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B75735E" w14:textId="77777777" w:rsidR="004C4C21" w:rsidRPr="005C6DA2" w:rsidRDefault="004C4C21" w:rsidP="001F6F2A">
            <w:pPr>
              <w:rPr>
                <w:sz w:val="20"/>
                <w:szCs w:val="20"/>
              </w:rPr>
            </w:pPr>
          </w:p>
        </w:tc>
      </w:tr>
    </w:tbl>
    <w:p w14:paraId="22C974E2" w14:textId="6495C593" w:rsidR="005C6DA2" w:rsidRDefault="005C6DA2" w:rsidP="005C6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b/>
        </w:rPr>
      </w:pPr>
      <w:r w:rsidRPr="00500B71">
        <w:rPr>
          <w:rFonts w:asciiTheme="majorBidi" w:hAnsiTheme="majorBidi" w:cstheme="majorBidi"/>
          <w:b/>
        </w:rPr>
        <w:t>*   Price must be quoted</w:t>
      </w:r>
      <w:r>
        <w:rPr>
          <w:rFonts w:asciiTheme="majorBidi" w:hAnsiTheme="majorBidi" w:cstheme="majorBidi"/>
          <w:b/>
        </w:rPr>
        <w:t xml:space="preserve"> in PKR</w:t>
      </w:r>
      <w:r w:rsidRPr="00500B71">
        <w:rPr>
          <w:rFonts w:asciiTheme="majorBidi" w:hAnsiTheme="majorBidi" w:cstheme="majorBidi"/>
          <w:b/>
        </w:rPr>
        <w:t xml:space="preserve"> with fixing, and installation</w:t>
      </w:r>
      <w:r>
        <w:rPr>
          <w:rFonts w:asciiTheme="majorBidi" w:hAnsiTheme="majorBidi" w:cstheme="majorBidi"/>
          <w:b/>
        </w:rPr>
        <w:t xml:space="preserve"> (if required)</w:t>
      </w:r>
      <w:r w:rsidRPr="00500B71">
        <w:rPr>
          <w:rFonts w:asciiTheme="majorBidi" w:hAnsiTheme="majorBidi" w:cstheme="majorBidi"/>
          <w:b/>
        </w:rPr>
        <w:t xml:space="preserve"> charges</w:t>
      </w:r>
      <w:r>
        <w:rPr>
          <w:rFonts w:asciiTheme="majorBidi" w:hAnsiTheme="majorBidi" w:cstheme="majorBidi"/>
          <w:b/>
        </w:rPr>
        <w:t>.</w:t>
      </w:r>
    </w:p>
    <w:p w14:paraId="60C97649" w14:textId="6FC2A468" w:rsidR="00AC3F59" w:rsidRPr="00500B71" w:rsidRDefault="00AC3F59" w:rsidP="005C6D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** </w:t>
      </w:r>
      <w:r w:rsidRPr="00500B71">
        <w:rPr>
          <w:rFonts w:asciiTheme="majorBidi" w:hAnsiTheme="majorBidi" w:cstheme="majorBidi"/>
          <w:b/>
        </w:rPr>
        <w:t>The bidder must sign</w:t>
      </w:r>
      <w:r>
        <w:rPr>
          <w:rFonts w:asciiTheme="majorBidi" w:hAnsiTheme="majorBidi" w:cstheme="majorBidi"/>
          <w:b/>
        </w:rPr>
        <w:t xml:space="preserve"> &amp; </w:t>
      </w:r>
      <w:r w:rsidRPr="00500B71">
        <w:rPr>
          <w:rFonts w:asciiTheme="majorBidi" w:hAnsiTheme="majorBidi" w:cstheme="majorBidi"/>
          <w:b/>
        </w:rPr>
        <w:t xml:space="preserve">stamp each page of </w:t>
      </w:r>
      <w:r>
        <w:rPr>
          <w:rFonts w:asciiTheme="majorBidi" w:hAnsiTheme="majorBidi" w:cstheme="majorBidi"/>
          <w:b/>
        </w:rPr>
        <w:t xml:space="preserve">the </w:t>
      </w:r>
      <w:r w:rsidRPr="00500B71">
        <w:rPr>
          <w:rFonts w:asciiTheme="majorBidi" w:hAnsiTheme="majorBidi" w:cstheme="majorBidi"/>
          <w:b/>
        </w:rPr>
        <w:t>bid</w:t>
      </w:r>
      <w:r>
        <w:rPr>
          <w:rFonts w:asciiTheme="majorBidi" w:hAnsiTheme="majorBidi" w:cstheme="majorBidi"/>
          <w:b/>
        </w:rPr>
        <w:t>ding</w:t>
      </w:r>
      <w:r w:rsidRPr="00500B71">
        <w:rPr>
          <w:rFonts w:asciiTheme="majorBidi" w:hAnsiTheme="majorBidi" w:cstheme="majorBidi"/>
          <w:b/>
        </w:rPr>
        <w:t xml:space="preserve"> document.</w:t>
      </w:r>
    </w:p>
    <w:p w14:paraId="407BE635" w14:textId="77777777" w:rsidR="00AC3F59" w:rsidRDefault="00AC3F59">
      <w:pPr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br w:type="page"/>
      </w:r>
    </w:p>
    <w:p w14:paraId="00000006" w14:textId="6B2BE17A" w:rsidR="00AC4884" w:rsidRDefault="004C4C21" w:rsidP="00AC3F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lastRenderedPageBreak/>
        <w:t>Category-C</w:t>
      </w:r>
      <w:r w:rsidR="00AC3F59">
        <w:rPr>
          <w:rFonts w:ascii="Cambria" w:eastAsia="Cambria" w:hAnsi="Cambria" w:cs="Cambria"/>
          <w:b/>
          <w:bCs/>
          <w:color w:val="000000"/>
          <w:sz w:val="28"/>
          <w:szCs w:val="28"/>
        </w:rPr>
        <w:t xml:space="preserve">: </w:t>
      </w:r>
      <w:r w:rsidR="00AC3F59">
        <w:rPr>
          <w:rFonts w:ascii="Cambria" w:eastAsia="Cambria" w:hAnsi="Cambria" w:cs="Cambria"/>
          <w:b/>
          <w:bCs/>
          <w:color w:val="000000"/>
          <w:sz w:val="28"/>
          <w:szCs w:val="28"/>
          <w:u w:val="single"/>
        </w:rPr>
        <w:t>Purchase of Electronic/electric items</w:t>
      </w:r>
    </w:p>
    <w:p w14:paraId="00000007" w14:textId="2A1F355D" w:rsidR="00AC4884" w:rsidRDefault="00AC4884" w:rsidP="00CC24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8"/>
          <w:szCs w:val="28"/>
          <w:u w:val="single"/>
        </w:rPr>
      </w:pPr>
    </w:p>
    <w:tbl>
      <w:tblPr>
        <w:tblStyle w:val="a"/>
        <w:tblW w:w="13153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9"/>
        <w:gridCol w:w="3332"/>
        <w:gridCol w:w="1134"/>
        <w:gridCol w:w="2126"/>
        <w:gridCol w:w="2835"/>
        <w:gridCol w:w="2977"/>
      </w:tblGrid>
      <w:tr w:rsidR="00500B71" w14:paraId="43F9513E" w14:textId="6DFD516B" w:rsidTr="005C6DA2">
        <w:trPr>
          <w:trHeight w:val="886"/>
        </w:trPr>
        <w:tc>
          <w:tcPr>
            <w:tcW w:w="749" w:type="dxa"/>
          </w:tcPr>
          <w:p w14:paraId="00000008" w14:textId="77777777" w:rsidR="00500B71" w:rsidRPr="0019698B" w:rsidRDefault="0050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98B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no</w:t>
            </w:r>
          </w:p>
        </w:tc>
        <w:tc>
          <w:tcPr>
            <w:tcW w:w="3332" w:type="dxa"/>
          </w:tcPr>
          <w:p w14:paraId="00000009" w14:textId="2E5DA0A1" w:rsidR="00500B71" w:rsidRPr="0019698B" w:rsidRDefault="0050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6"/>
                <w:tab w:val="center" w:pos="2805"/>
              </w:tabs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98B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Description</w:t>
            </w:r>
          </w:p>
        </w:tc>
        <w:tc>
          <w:tcPr>
            <w:tcW w:w="1134" w:type="dxa"/>
          </w:tcPr>
          <w:p w14:paraId="0000000A" w14:textId="5E6DFE6F" w:rsidR="00500B71" w:rsidRPr="0019698B" w:rsidRDefault="0050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698B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Qty</w:t>
            </w:r>
          </w:p>
        </w:tc>
        <w:tc>
          <w:tcPr>
            <w:tcW w:w="2126" w:type="dxa"/>
          </w:tcPr>
          <w:p w14:paraId="4E6C6E26" w14:textId="5359FE88" w:rsidR="00500B71" w:rsidRDefault="00500B71" w:rsidP="0050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warranty period (at-least)</w:t>
            </w:r>
          </w:p>
        </w:tc>
        <w:tc>
          <w:tcPr>
            <w:tcW w:w="2835" w:type="dxa"/>
          </w:tcPr>
          <w:p w14:paraId="40FEF80B" w14:textId="2DCA8C13" w:rsidR="00500B71" w:rsidRPr="0019698B" w:rsidRDefault="0050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Unit Price with GST</w:t>
            </w:r>
          </w:p>
        </w:tc>
        <w:tc>
          <w:tcPr>
            <w:tcW w:w="2977" w:type="dxa"/>
          </w:tcPr>
          <w:p w14:paraId="2A29613F" w14:textId="338664C1" w:rsidR="00500B71" w:rsidRDefault="0050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 Price (with GST)</w:t>
            </w:r>
          </w:p>
        </w:tc>
      </w:tr>
      <w:tr w:rsidR="00500B71" w:rsidRPr="00CC247A" w14:paraId="4EAE8646" w14:textId="10846C9B" w:rsidTr="005C6DA2">
        <w:trPr>
          <w:trHeight w:val="602"/>
        </w:trPr>
        <w:tc>
          <w:tcPr>
            <w:tcW w:w="749" w:type="dxa"/>
          </w:tcPr>
          <w:p w14:paraId="0000000F" w14:textId="77777777" w:rsidR="00500B71" w:rsidRPr="00CC247A" w:rsidRDefault="00500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247A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3332" w:type="dxa"/>
          </w:tcPr>
          <w:p w14:paraId="6C0662D3" w14:textId="58FA4619" w:rsidR="00500B71" w:rsidRDefault="006C4ABA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>Smart LED TV Original</w:t>
            </w:r>
            <w:r w:rsidR="00500B71">
              <w:rPr>
                <w:rFonts w:asciiTheme="majorBidi" w:eastAsia="Tahoma" w:hAnsiTheme="majorBidi" w:cstheme="majorBidi"/>
                <w:color w:val="000000"/>
              </w:rPr>
              <w:t xml:space="preserve"> 42” </w:t>
            </w:r>
          </w:p>
          <w:p w14:paraId="0000001D" w14:textId="7F83457A" w:rsidR="005C6DA2" w:rsidRPr="00CC247A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>(Samsun</w:t>
            </w:r>
            <w:r w:rsidR="00AC3F59">
              <w:rPr>
                <w:rFonts w:asciiTheme="majorBidi" w:eastAsia="Tahoma" w:hAnsiTheme="majorBidi" w:cstheme="majorBidi"/>
                <w:color w:val="000000"/>
              </w:rPr>
              <w:t>g</w:t>
            </w:r>
            <w:r>
              <w:rPr>
                <w:rFonts w:asciiTheme="majorBidi" w:eastAsia="Tahoma" w:hAnsiTheme="majorBidi" w:cstheme="majorBidi"/>
                <w:color w:val="000000"/>
              </w:rPr>
              <w:t>, Sony or equivalent)</w:t>
            </w:r>
          </w:p>
        </w:tc>
        <w:tc>
          <w:tcPr>
            <w:tcW w:w="1134" w:type="dxa"/>
          </w:tcPr>
          <w:p w14:paraId="00000021" w14:textId="69FDD882" w:rsidR="00500B71" w:rsidRPr="00CC247A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02</w:t>
            </w:r>
          </w:p>
        </w:tc>
        <w:tc>
          <w:tcPr>
            <w:tcW w:w="2126" w:type="dxa"/>
          </w:tcPr>
          <w:p w14:paraId="628EF79D" w14:textId="43A6F1E5" w:rsidR="00500B71" w:rsidRDefault="006C4ABA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01 year</w:t>
            </w:r>
          </w:p>
        </w:tc>
        <w:tc>
          <w:tcPr>
            <w:tcW w:w="2835" w:type="dxa"/>
          </w:tcPr>
          <w:p w14:paraId="641238B9" w14:textId="30CA78F4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977" w:type="dxa"/>
          </w:tcPr>
          <w:p w14:paraId="43472B0F" w14:textId="77777777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500B71" w:rsidRPr="00CC247A" w14:paraId="4322519B" w14:textId="1C4BB37F" w:rsidTr="005C6DA2">
        <w:trPr>
          <w:trHeight w:val="567"/>
        </w:trPr>
        <w:tc>
          <w:tcPr>
            <w:tcW w:w="749" w:type="dxa"/>
          </w:tcPr>
          <w:p w14:paraId="78EDE5F4" w14:textId="49F0426D" w:rsidR="00500B71" w:rsidRPr="00CC247A" w:rsidRDefault="00500B71" w:rsidP="00CC2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 w:rsidRPr="00CC247A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3332" w:type="dxa"/>
          </w:tcPr>
          <w:p w14:paraId="18F9E9C8" w14:textId="77777777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 xml:space="preserve">Refrigerator (11 </w:t>
            </w:r>
            <w:proofErr w:type="spellStart"/>
            <w:r>
              <w:rPr>
                <w:rFonts w:asciiTheme="majorBidi" w:eastAsia="Tahoma" w:hAnsiTheme="majorBidi" w:cstheme="majorBidi"/>
                <w:color w:val="000000"/>
              </w:rPr>
              <w:t>sft</w:t>
            </w:r>
            <w:proofErr w:type="spellEnd"/>
            <w:r>
              <w:rPr>
                <w:rFonts w:asciiTheme="majorBidi" w:eastAsia="Tahoma" w:hAnsiTheme="majorBidi" w:cstheme="majorBidi"/>
                <w:color w:val="000000"/>
              </w:rPr>
              <w:t>)</w:t>
            </w:r>
          </w:p>
          <w:p w14:paraId="599BA79E" w14:textId="7865005A" w:rsidR="005C6DA2" w:rsidRPr="0019698B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>(</w:t>
            </w:r>
            <w:proofErr w:type="spellStart"/>
            <w:r>
              <w:rPr>
                <w:rFonts w:asciiTheme="majorBidi" w:eastAsia="Tahoma" w:hAnsiTheme="majorBidi" w:cstheme="majorBidi"/>
                <w:color w:val="000000"/>
              </w:rPr>
              <w:t>Dowlance</w:t>
            </w:r>
            <w:proofErr w:type="spellEnd"/>
            <w:r>
              <w:rPr>
                <w:rFonts w:asciiTheme="majorBidi" w:eastAsia="Tahoma" w:hAnsiTheme="majorBidi" w:cstheme="majorBidi"/>
                <w:color w:val="000000"/>
              </w:rPr>
              <w:t>, H</w:t>
            </w:r>
            <w:r w:rsidR="005219E8">
              <w:rPr>
                <w:rFonts w:asciiTheme="majorBidi" w:eastAsia="Tahoma" w:hAnsiTheme="majorBidi" w:cstheme="majorBidi"/>
                <w:color w:val="000000"/>
              </w:rPr>
              <w:t>a</w:t>
            </w:r>
            <w:r>
              <w:rPr>
                <w:rFonts w:asciiTheme="majorBidi" w:eastAsia="Tahoma" w:hAnsiTheme="majorBidi" w:cstheme="majorBidi"/>
                <w:color w:val="000000"/>
              </w:rPr>
              <w:t>i</w:t>
            </w:r>
            <w:r w:rsidR="005219E8">
              <w:rPr>
                <w:rFonts w:asciiTheme="majorBidi" w:eastAsia="Tahoma" w:hAnsiTheme="majorBidi" w:cstheme="majorBidi"/>
                <w:color w:val="000000"/>
              </w:rPr>
              <w:t>e</w:t>
            </w:r>
            <w:r>
              <w:rPr>
                <w:rFonts w:asciiTheme="majorBidi" w:eastAsia="Tahoma" w:hAnsiTheme="majorBidi" w:cstheme="majorBidi"/>
                <w:color w:val="000000"/>
              </w:rPr>
              <w:t>r, Kenwood, Orient, or equivalent)</w:t>
            </w:r>
          </w:p>
        </w:tc>
        <w:tc>
          <w:tcPr>
            <w:tcW w:w="1134" w:type="dxa"/>
          </w:tcPr>
          <w:p w14:paraId="437A3A7B" w14:textId="27F08D92" w:rsidR="00500B71" w:rsidRPr="00CC247A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05</w:t>
            </w:r>
          </w:p>
        </w:tc>
        <w:tc>
          <w:tcPr>
            <w:tcW w:w="2126" w:type="dxa"/>
          </w:tcPr>
          <w:p w14:paraId="17D5544E" w14:textId="34506A7E" w:rsidR="00500B71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05 years </w:t>
            </w:r>
          </w:p>
        </w:tc>
        <w:tc>
          <w:tcPr>
            <w:tcW w:w="2835" w:type="dxa"/>
          </w:tcPr>
          <w:p w14:paraId="4DC52BB3" w14:textId="21BE2D1C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14:paraId="1F31C8D5" w14:textId="77777777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</w:tr>
      <w:tr w:rsidR="00500B71" w:rsidRPr="00CC247A" w14:paraId="7347D45F" w14:textId="53F267F9" w:rsidTr="005C6DA2">
        <w:trPr>
          <w:trHeight w:val="602"/>
        </w:trPr>
        <w:tc>
          <w:tcPr>
            <w:tcW w:w="749" w:type="dxa"/>
          </w:tcPr>
          <w:p w14:paraId="49201ABD" w14:textId="341572B7" w:rsidR="00500B71" w:rsidRPr="00CC247A" w:rsidRDefault="00500B71" w:rsidP="00CC2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03</w:t>
            </w:r>
          </w:p>
        </w:tc>
        <w:tc>
          <w:tcPr>
            <w:tcW w:w="3332" w:type="dxa"/>
          </w:tcPr>
          <w:p w14:paraId="349D1D1A" w14:textId="77777777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>Deep Freezer (4 feet)</w:t>
            </w:r>
          </w:p>
          <w:p w14:paraId="6FAEA4B7" w14:textId="7B9748E2" w:rsidR="005C6DA2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 xml:space="preserve">(Waves, </w:t>
            </w:r>
            <w:r w:rsidR="005219E8">
              <w:rPr>
                <w:rFonts w:asciiTheme="majorBidi" w:eastAsia="Tahoma" w:hAnsiTheme="majorBidi" w:cstheme="majorBidi"/>
                <w:color w:val="000000"/>
              </w:rPr>
              <w:t>N</w:t>
            </w:r>
            <w:r>
              <w:rPr>
                <w:rFonts w:asciiTheme="majorBidi" w:eastAsia="Tahoma" w:hAnsiTheme="majorBidi" w:cstheme="majorBidi"/>
                <w:color w:val="000000"/>
              </w:rPr>
              <w:t>ational or equivalent)</w:t>
            </w:r>
          </w:p>
        </w:tc>
        <w:tc>
          <w:tcPr>
            <w:tcW w:w="1134" w:type="dxa"/>
          </w:tcPr>
          <w:p w14:paraId="19F1FB71" w14:textId="370DD83B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06</w:t>
            </w:r>
          </w:p>
        </w:tc>
        <w:tc>
          <w:tcPr>
            <w:tcW w:w="2126" w:type="dxa"/>
          </w:tcPr>
          <w:p w14:paraId="74DAD59C" w14:textId="4BB1EA2E" w:rsidR="00500B71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 years</w:t>
            </w:r>
          </w:p>
        </w:tc>
        <w:tc>
          <w:tcPr>
            <w:tcW w:w="2835" w:type="dxa"/>
          </w:tcPr>
          <w:p w14:paraId="15172E02" w14:textId="6E0FF299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14:paraId="158B9812" w14:textId="77777777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</w:tr>
      <w:tr w:rsidR="00500B71" w:rsidRPr="00CC247A" w14:paraId="7D5540D0" w14:textId="2755B17F" w:rsidTr="005C6DA2">
        <w:trPr>
          <w:trHeight w:val="567"/>
        </w:trPr>
        <w:tc>
          <w:tcPr>
            <w:tcW w:w="749" w:type="dxa"/>
          </w:tcPr>
          <w:p w14:paraId="47C7DBEC" w14:textId="2292FB43" w:rsidR="00500B71" w:rsidRDefault="00500B71" w:rsidP="00CC2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04</w:t>
            </w:r>
          </w:p>
        </w:tc>
        <w:tc>
          <w:tcPr>
            <w:tcW w:w="3332" w:type="dxa"/>
          </w:tcPr>
          <w:p w14:paraId="4C171E21" w14:textId="4AC31A1A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 xml:space="preserve">Geysers (60 </w:t>
            </w:r>
            <w:r w:rsidR="00161FEA">
              <w:rPr>
                <w:rFonts w:asciiTheme="majorBidi" w:eastAsia="Tahoma" w:hAnsiTheme="majorBidi" w:cstheme="majorBidi"/>
                <w:color w:val="000000"/>
              </w:rPr>
              <w:t>liters</w:t>
            </w:r>
            <w:r>
              <w:rPr>
                <w:rFonts w:asciiTheme="majorBidi" w:eastAsia="Tahoma" w:hAnsiTheme="majorBidi" w:cstheme="majorBidi"/>
                <w:color w:val="000000"/>
              </w:rPr>
              <w:t>)</w:t>
            </w:r>
          </w:p>
          <w:p w14:paraId="594CBBEF" w14:textId="5FAF97C5" w:rsidR="005C6DA2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>(Welcome, Super Asia</w:t>
            </w:r>
            <w:r w:rsidR="00AC3F59">
              <w:rPr>
                <w:rFonts w:asciiTheme="majorBidi" w:eastAsia="Tahoma" w:hAnsiTheme="majorBidi" w:cstheme="majorBidi"/>
                <w:color w:val="000000"/>
              </w:rPr>
              <w:t>,</w:t>
            </w:r>
            <w:r>
              <w:rPr>
                <w:rFonts w:asciiTheme="majorBidi" w:eastAsia="Tahoma" w:hAnsiTheme="majorBidi" w:cstheme="majorBidi"/>
                <w:color w:val="000000"/>
              </w:rPr>
              <w:t xml:space="preserve"> or equivalent)</w:t>
            </w:r>
          </w:p>
        </w:tc>
        <w:tc>
          <w:tcPr>
            <w:tcW w:w="1134" w:type="dxa"/>
          </w:tcPr>
          <w:p w14:paraId="6FD29970" w14:textId="24AA145D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2126" w:type="dxa"/>
          </w:tcPr>
          <w:p w14:paraId="14FA1FAE" w14:textId="2256638C" w:rsidR="00500B71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 year</w:t>
            </w:r>
          </w:p>
        </w:tc>
        <w:tc>
          <w:tcPr>
            <w:tcW w:w="2835" w:type="dxa"/>
          </w:tcPr>
          <w:p w14:paraId="5CDF6493" w14:textId="0A41AF98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14:paraId="1D872F81" w14:textId="77777777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</w:tr>
      <w:tr w:rsidR="00500B71" w:rsidRPr="00CC247A" w14:paraId="11D93420" w14:textId="77777777" w:rsidTr="005C6DA2">
        <w:trPr>
          <w:trHeight w:val="567"/>
        </w:trPr>
        <w:tc>
          <w:tcPr>
            <w:tcW w:w="749" w:type="dxa"/>
          </w:tcPr>
          <w:p w14:paraId="6375333C" w14:textId="36A931CC" w:rsidR="00500B71" w:rsidRDefault="00500B71" w:rsidP="00CC2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05</w:t>
            </w:r>
          </w:p>
        </w:tc>
        <w:tc>
          <w:tcPr>
            <w:tcW w:w="3332" w:type="dxa"/>
          </w:tcPr>
          <w:p w14:paraId="4DF526B7" w14:textId="77777777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 xml:space="preserve">Air Conditioner (02 ton), inverter </w:t>
            </w:r>
          </w:p>
          <w:p w14:paraId="223B71F8" w14:textId="3A59E2A7" w:rsidR="005C6DA2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>(</w:t>
            </w:r>
            <w:proofErr w:type="spellStart"/>
            <w:r>
              <w:rPr>
                <w:rFonts w:asciiTheme="majorBidi" w:eastAsia="Tahoma" w:hAnsiTheme="majorBidi" w:cstheme="majorBidi"/>
                <w:color w:val="000000"/>
              </w:rPr>
              <w:t>Gree</w:t>
            </w:r>
            <w:proofErr w:type="spellEnd"/>
            <w:r>
              <w:rPr>
                <w:rFonts w:asciiTheme="majorBidi" w:eastAsia="Tahoma" w:hAnsiTheme="majorBidi" w:cstheme="majorBidi"/>
                <w:color w:val="000000"/>
              </w:rPr>
              <w:t>, orient, H</w:t>
            </w:r>
            <w:r w:rsidR="005219E8">
              <w:rPr>
                <w:rFonts w:asciiTheme="majorBidi" w:eastAsia="Tahoma" w:hAnsiTheme="majorBidi" w:cstheme="majorBidi"/>
                <w:color w:val="000000"/>
              </w:rPr>
              <w:t>a</w:t>
            </w:r>
            <w:r>
              <w:rPr>
                <w:rFonts w:asciiTheme="majorBidi" w:eastAsia="Tahoma" w:hAnsiTheme="majorBidi" w:cstheme="majorBidi"/>
                <w:color w:val="000000"/>
              </w:rPr>
              <w:t>i</w:t>
            </w:r>
            <w:r w:rsidR="005219E8">
              <w:rPr>
                <w:rFonts w:asciiTheme="majorBidi" w:eastAsia="Tahoma" w:hAnsiTheme="majorBidi" w:cstheme="majorBidi"/>
                <w:color w:val="000000"/>
              </w:rPr>
              <w:t>e</w:t>
            </w:r>
            <w:r>
              <w:rPr>
                <w:rFonts w:asciiTheme="majorBidi" w:eastAsia="Tahoma" w:hAnsiTheme="majorBidi" w:cstheme="majorBidi"/>
                <w:color w:val="000000"/>
              </w:rPr>
              <w:t>r or equivalent)</w:t>
            </w:r>
          </w:p>
        </w:tc>
        <w:tc>
          <w:tcPr>
            <w:tcW w:w="1134" w:type="dxa"/>
          </w:tcPr>
          <w:p w14:paraId="5D900385" w14:textId="0F49AE9E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</w:t>
            </w:r>
          </w:p>
        </w:tc>
        <w:tc>
          <w:tcPr>
            <w:tcW w:w="2126" w:type="dxa"/>
          </w:tcPr>
          <w:p w14:paraId="7E16FD63" w14:textId="3F96DDDD" w:rsidR="00500B71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 year</w:t>
            </w:r>
          </w:p>
        </w:tc>
        <w:tc>
          <w:tcPr>
            <w:tcW w:w="2835" w:type="dxa"/>
          </w:tcPr>
          <w:p w14:paraId="78E3E9A4" w14:textId="5A9E184C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14:paraId="5A874119" w14:textId="77777777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</w:tr>
      <w:tr w:rsidR="00500B71" w:rsidRPr="00CC247A" w14:paraId="456DCAFE" w14:textId="77777777" w:rsidTr="005C6DA2">
        <w:trPr>
          <w:trHeight w:val="567"/>
        </w:trPr>
        <w:tc>
          <w:tcPr>
            <w:tcW w:w="749" w:type="dxa"/>
          </w:tcPr>
          <w:p w14:paraId="31602814" w14:textId="555C46C8" w:rsidR="00500B71" w:rsidRDefault="00500B71" w:rsidP="00CC2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06</w:t>
            </w:r>
          </w:p>
        </w:tc>
        <w:tc>
          <w:tcPr>
            <w:tcW w:w="3332" w:type="dxa"/>
          </w:tcPr>
          <w:p w14:paraId="44B7AA76" w14:textId="77777777" w:rsidR="005C6DA2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>Air Conditioner (1.5 ton) inverter</w:t>
            </w:r>
          </w:p>
          <w:p w14:paraId="50EE4B3A" w14:textId="64B10BF3" w:rsidR="00500B71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Tahoma" w:hAnsiTheme="majorBidi" w:cstheme="majorBidi"/>
                <w:color w:val="000000"/>
              </w:rPr>
            </w:pPr>
            <w:r>
              <w:rPr>
                <w:rFonts w:asciiTheme="majorBidi" w:eastAsia="Tahoma" w:hAnsiTheme="majorBidi" w:cstheme="majorBidi"/>
                <w:color w:val="000000"/>
              </w:rPr>
              <w:t>(</w:t>
            </w:r>
            <w:proofErr w:type="spellStart"/>
            <w:r>
              <w:rPr>
                <w:rFonts w:asciiTheme="majorBidi" w:eastAsia="Tahoma" w:hAnsiTheme="majorBidi" w:cstheme="majorBidi"/>
                <w:color w:val="000000"/>
              </w:rPr>
              <w:t>Gree</w:t>
            </w:r>
            <w:proofErr w:type="spellEnd"/>
            <w:r>
              <w:rPr>
                <w:rFonts w:asciiTheme="majorBidi" w:eastAsia="Tahoma" w:hAnsiTheme="majorBidi" w:cstheme="majorBidi"/>
                <w:color w:val="000000"/>
              </w:rPr>
              <w:t>, orient, H</w:t>
            </w:r>
            <w:r w:rsidR="005219E8">
              <w:rPr>
                <w:rFonts w:asciiTheme="majorBidi" w:eastAsia="Tahoma" w:hAnsiTheme="majorBidi" w:cstheme="majorBidi"/>
                <w:color w:val="000000"/>
              </w:rPr>
              <w:t>ai</w:t>
            </w:r>
            <w:r>
              <w:rPr>
                <w:rFonts w:asciiTheme="majorBidi" w:eastAsia="Tahoma" w:hAnsiTheme="majorBidi" w:cstheme="majorBidi"/>
                <w:color w:val="000000"/>
              </w:rPr>
              <w:t>er or equivalent)</w:t>
            </w:r>
            <w:r w:rsidR="00500B71">
              <w:rPr>
                <w:rFonts w:asciiTheme="majorBidi" w:eastAsia="Tahoma" w:hAnsiTheme="majorBidi" w:cstheme="majorBidi"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60C8C03E" w14:textId="6237CE5B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05</w:t>
            </w:r>
          </w:p>
        </w:tc>
        <w:tc>
          <w:tcPr>
            <w:tcW w:w="2126" w:type="dxa"/>
          </w:tcPr>
          <w:p w14:paraId="52060394" w14:textId="22A21A51" w:rsidR="00500B71" w:rsidRDefault="005C6DA2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03 year</w:t>
            </w:r>
          </w:p>
        </w:tc>
        <w:tc>
          <w:tcPr>
            <w:tcW w:w="2835" w:type="dxa"/>
          </w:tcPr>
          <w:p w14:paraId="1083F201" w14:textId="5303C0BD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</w:tcPr>
          <w:p w14:paraId="30E7BDEC" w14:textId="77777777" w:rsidR="00500B71" w:rsidRDefault="00500B71" w:rsidP="00196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000004C" w14:textId="7BE9090C" w:rsidR="00CD355F" w:rsidRPr="005C6649" w:rsidRDefault="007C417D" w:rsidP="005C664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b/>
        </w:rPr>
      </w:pPr>
      <w:r w:rsidRPr="005C6649">
        <w:rPr>
          <w:rFonts w:asciiTheme="majorBidi" w:hAnsiTheme="majorBidi" w:cstheme="majorBidi"/>
          <w:b/>
        </w:rPr>
        <w:t xml:space="preserve">Price </w:t>
      </w:r>
      <w:r w:rsidR="00D633B0" w:rsidRPr="005C6649">
        <w:rPr>
          <w:rFonts w:asciiTheme="majorBidi" w:hAnsiTheme="majorBidi" w:cstheme="majorBidi"/>
          <w:b/>
        </w:rPr>
        <w:t>must be quoted</w:t>
      </w:r>
      <w:r w:rsidR="00500B71" w:rsidRPr="005C6649">
        <w:rPr>
          <w:rFonts w:asciiTheme="majorBidi" w:hAnsiTheme="majorBidi" w:cstheme="majorBidi"/>
          <w:b/>
        </w:rPr>
        <w:t xml:space="preserve"> in PKR</w:t>
      </w:r>
      <w:r w:rsidR="00D633B0" w:rsidRPr="005C6649">
        <w:rPr>
          <w:rFonts w:asciiTheme="majorBidi" w:hAnsiTheme="majorBidi" w:cstheme="majorBidi"/>
          <w:b/>
        </w:rPr>
        <w:t xml:space="preserve"> </w:t>
      </w:r>
      <w:r w:rsidRPr="005C6649">
        <w:rPr>
          <w:rFonts w:asciiTheme="majorBidi" w:hAnsiTheme="majorBidi" w:cstheme="majorBidi"/>
          <w:b/>
        </w:rPr>
        <w:t>with fixing, and installation charges</w:t>
      </w:r>
      <w:r w:rsidR="00500B71" w:rsidRPr="005C6649">
        <w:rPr>
          <w:rFonts w:asciiTheme="majorBidi" w:hAnsiTheme="majorBidi" w:cstheme="majorBidi"/>
          <w:b/>
        </w:rPr>
        <w:t>.</w:t>
      </w:r>
    </w:p>
    <w:p w14:paraId="766445B1" w14:textId="502D2C2F" w:rsidR="00500B71" w:rsidRPr="00500B71" w:rsidRDefault="00500B71" w:rsidP="005C664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b/>
        </w:rPr>
      </w:pPr>
      <w:r w:rsidRPr="00500B71">
        <w:rPr>
          <w:rFonts w:asciiTheme="majorBidi" w:hAnsiTheme="majorBidi" w:cstheme="majorBidi"/>
          <w:b/>
        </w:rPr>
        <w:t>The bidder must have to submit an authorization certificate with the tender document</w:t>
      </w:r>
      <w:r>
        <w:rPr>
          <w:rFonts w:asciiTheme="majorBidi" w:hAnsiTheme="majorBidi" w:cstheme="majorBidi"/>
          <w:b/>
        </w:rPr>
        <w:t>.</w:t>
      </w:r>
    </w:p>
    <w:p w14:paraId="0A462415" w14:textId="54A60389" w:rsidR="00500B71" w:rsidRPr="00500B71" w:rsidRDefault="00500B71" w:rsidP="005C664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b/>
        </w:rPr>
      </w:pPr>
      <w:r w:rsidRPr="00500B71">
        <w:rPr>
          <w:rFonts w:asciiTheme="majorBidi" w:hAnsiTheme="majorBidi" w:cstheme="majorBidi"/>
          <w:b/>
        </w:rPr>
        <w:t>The bidder must give warranty as mentioned against each item</w:t>
      </w:r>
      <w:r>
        <w:rPr>
          <w:rFonts w:asciiTheme="majorBidi" w:hAnsiTheme="majorBidi" w:cstheme="majorBidi"/>
          <w:b/>
        </w:rPr>
        <w:t>.</w:t>
      </w:r>
    </w:p>
    <w:p w14:paraId="0DFC68FC" w14:textId="4031F22E" w:rsidR="00500B71" w:rsidRPr="00500B71" w:rsidRDefault="00500B71" w:rsidP="005C664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hAnsiTheme="majorBidi" w:cstheme="majorBidi"/>
          <w:b/>
        </w:rPr>
      </w:pPr>
      <w:r w:rsidRPr="00500B71">
        <w:rPr>
          <w:rFonts w:asciiTheme="majorBidi" w:hAnsiTheme="majorBidi" w:cstheme="majorBidi"/>
          <w:b/>
        </w:rPr>
        <w:t>The bidder must sign</w:t>
      </w:r>
      <w:r>
        <w:rPr>
          <w:rFonts w:asciiTheme="majorBidi" w:hAnsiTheme="majorBidi" w:cstheme="majorBidi"/>
          <w:b/>
        </w:rPr>
        <w:t xml:space="preserve"> &amp; </w:t>
      </w:r>
      <w:r w:rsidRPr="00500B71">
        <w:rPr>
          <w:rFonts w:asciiTheme="majorBidi" w:hAnsiTheme="majorBidi" w:cstheme="majorBidi"/>
          <w:b/>
        </w:rPr>
        <w:t xml:space="preserve">stamp each page of </w:t>
      </w:r>
      <w:r w:rsidR="00AC3F59">
        <w:rPr>
          <w:rFonts w:asciiTheme="majorBidi" w:hAnsiTheme="majorBidi" w:cstheme="majorBidi"/>
          <w:b/>
        </w:rPr>
        <w:t xml:space="preserve">the </w:t>
      </w:r>
      <w:r w:rsidRPr="00500B71">
        <w:rPr>
          <w:rFonts w:asciiTheme="majorBidi" w:hAnsiTheme="majorBidi" w:cstheme="majorBidi"/>
          <w:b/>
        </w:rPr>
        <w:t>bid</w:t>
      </w:r>
      <w:r>
        <w:rPr>
          <w:rFonts w:asciiTheme="majorBidi" w:hAnsiTheme="majorBidi" w:cstheme="majorBidi"/>
          <w:b/>
        </w:rPr>
        <w:t>ding</w:t>
      </w:r>
      <w:r w:rsidRPr="00500B71">
        <w:rPr>
          <w:rFonts w:asciiTheme="majorBidi" w:hAnsiTheme="majorBidi" w:cstheme="majorBidi"/>
          <w:b/>
        </w:rPr>
        <w:t xml:space="preserve"> document.</w:t>
      </w:r>
    </w:p>
    <w:p w14:paraId="03BE0355" w14:textId="371466A9" w:rsidR="00AC4884" w:rsidRDefault="00AC4884" w:rsidP="004C4C21">
      <w:pPr>
        <w:rPr>
          <w:b/>
          <w:color w:val="0070C0"/>
          <w:sz w:val="36"/>
          <w:szCs w:val="36"/>
          <w:u w:val="single"/>
        </w:rPr>
      </w:pPr>
    </w:p>
    <w:sectPr w:rsidR="00AC4884" w:rsidSect="00AC3F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851" w:right="1440" w:bottom="1135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859C1" w14:textId="77777777" w:rsidR="00554130" w:rsidRDefault="00554130">
      <w:pPr>
        <w:spacing w:after="0" w:line="240" w:lineRule="auto"/>
      </w:pPr>
      <w:r>
        <w:separator/>
      </w:r>
    </w:p>
  </w:endnote>
  <w:endnote w:type="continuationSeparator" w:id="0">
    <w:p w14:paraId="6AEECE29" w14:textId="77777777" w:rsidR="00554130" w:rsidRDefault="0055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A" w14:textId="77777777" w:rsidR="00AC4884" w:rsidRDefault="00AC4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9" w14:textId="77777777" w:rsidR="00AC4884" w:rsidRDefault="00AC4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B" w14:textId="77777777" w:rsidR="00AC4884" w:rsidRDefault="00AC4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2A7CC" w14:textId="77777777" w:rsidR="00554130" w:rsidRDefault="00554130">
      <w:pPr>
        <w:spacing w:after="0" w:line="240" w:lineRule="auto"/>
      </w:pPr>
      <w:r>
        <w:separator/>
      </w:r>
    </w:p>
  </w:footnote>
  <w:footnote w:type="continuationSeparator" w:id="0">
    <w:p w14:paraId="5FF3EC2F" w14:textId="77777777" w:rsidR="00554130" w:rsidRDefault="0055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8" w14:textId="77777777" w:rsidR="00AC4884" w:rsidRDefault="00AC4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7" w14:textId="77777777" w:rsidR="00AC4884" w:rsidRDefault="00AC4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6" w14:textId="77777777" w:rsidR="00AC4884" w:rsidRDefault="00AC48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07C67"/>
    <w:multiLevelType w:val="multilevel"/>
    <w:tmpl w:val="932C91AE"/>
    <w:lvl w:ilvl="0">
      <w:start w:val="1"/>
      <w:numFmt w:val="decimal"/>
      <w:lvlText w:val="%1)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0C2FDF"/>
    <w:multiLevelType w:val="hybridMultilevel"/>
    <w:tmpl w:val="FB301138"/>
    <w:lvl w:ilvl="0" w:tplc="CFEC33A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7C1D"/>
    <w:multiLevelType w:val="multilevel"/>
    <w:tmpl w:val="4C5A69D8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xNDezsADS5hZG5ko6SsGpxcWZ+XkgBUa1AJc+qhYsAAAA"/>
  </w:docVars>
  <w:rsids>
    <w:rsidRoot w:val="00AC4884"/>
    <w:rsid w:val="0008428A"/>
    <w:rsid w:val="00161FEA"/>
    <w:rsid w:val="0019698B"/>
    <w:rsid w:val="001C4E7A"/>
    <w:rsid w:val="002C57E5"/>
    <w:rsid w:val="004C4C21"/>
    <w:rsid w:val="004F262D"/>
    <w:rsid w:val="00500B71"/>
    <w:rsid w:val="005219E8"/>
    <w:rsid w:val="00554130"/>
    <w:rsid w:val="005C6649"/>
    <w:rsid w:val="005C6DA2"/>
    <w:rsid w:val="005F5325"/>
    <w:rsid w:val="00686837"/>
    <w:rsid w:val="006A51ED"/>
    <w:rsid w:val="006C4ABA"/>
    <w:rsid w:val="006F15AA"/>
    <w:rsid w:val="007C417D"/>
    <w:rsid w:val="00801413"/>
    <w:rsid w:val="00905C27"/>
    <w:rsid w:val="009F467D"/>
    <w:rsid w:val="00A514B4"/>
    <w:rsid w:val="00AC3F59"/>
    <w:rsid w:val="00AC4884"/>
    <w:rsid w:val="00AE77C2"/>
    <w:rsid w:val="00B276A0"/>
    <w:rsid w:val="00BA0EEB"/>
    <w:rsid w:val="00BE40AD"/>
    <w:rsid w:val="00C37A16"/>
    <w:rsid w:val="00CC247A"/>
    <w:rsid w:val="00CD355F"/>
    <w:rsid w:val="00D633B0"/>
    <w:rsid w:val="00DC6E41"/>
    <w:rsid w:val="00DE7B2B"/>
    <w:rsid w:val="00DF30B8"/>
    <w:rsid w:val="00EC463B"/>
    <w:rsid w:val="00F0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4FBC"/>
  <w15:docId w15:val="{4D0FA85C-9D79-47C4-9238-C4819E5F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P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BA0EE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 Administrator</cp:lastModifiedBy>
  <cp:revision>2</cp:revision>
  <cp:lastPrinted>2021-06-30T03:41:00Z</cp:lastPrinted>
  <dcterms:created xsi:type="dcterms:W3CDTF">2021-07-09T06:31:00Z</dcterms:created>
  <dcterms:modified xsi:type="dcterms:W3CDTF">2021-07-09T06:31:00Z</dcterms:modified>
</cp:coreProperties>
</file>